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4B" w:rsidRPr="000462A4" w:rsidRDefault="00414E7B" w:rsidP="000462A4">
      <w:pPr>
        <w:spacing w:before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 xml:space="preserve">FIDIC </w:t>
      </w:r>
      <w:r w:rsidR="00167728"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>аккредитованный М</w:t>
      </w:r>
      <w:r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>одуль 1 на русском языке</w:t>
      </w:r>
      <w:r w:rsidR="0035534B"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>:</w:t>
      </w:r>
    </w:p>
    <w:p w:rsidR="0035534B" w:rsidRPr="000462A4" w:rsidRDefault="001A4AE6" w:rsidP="000462A4">
      <w:pPr>
        <w:spacing w:before="120"/>
        <w:jc w:val="center"/>
        <w:rPr>
          <w:rFonts w:ascii="Times New Roman" w:hAnsi="Times New Roman" w:cs="Times New Roman"/>
          <w:b/>
          <w:color w:val="7030A0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>Практическое приложение контрактов FIDIC</w:t>
      </w:r>
      <w:r w:rsidRPr="000462A4">
        <w:rPr>
          <w:rFonts w:ascii="Times New Roman" w:hAnsi="Times New Roman" w:cs="Times New Roman"/>
          <w:color w:val="7030A0"/>
          <w:sz w:val="28"/>
          <w:szCs w:val="24"/>
          <w:lang w:val="ru-RU"/>
        </w:rPr>
        <w:t xml:space="preserve"> </w:t>
      </w:r>
      <w:r w:rsidRPr="000462A4">
        <w:rPr>
          <w:rFonts w:ascii="Times New Roman" w:hAnsi="Times New Roman" w:cs="Times New Roman"/>
          <w:b/>
          <w:bCs/>
          <w:color w:val="7030A0"/>
          <w:sz w:val="28"/>
          <w:szCs w:val="24"/>
          <w:lang w:val="ru-RU"/>
        </w:rPr>
        <w:t>(Модуль 1)</w:t>
      </w:r>
    </w:p>
    <w:p w:rsidR="00253A7C" w:rsidRPr="000462A4" w:rsidRDefault="00253A7C" w:rsidP="000462A4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>Тип: </w:t>
      </w:r>
      <w:hyperlink r:id="rId8" w:history="1">
        <w:r w:rsidRPr="000462A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ru-RU"/>
          </w:rPr>
          <w:t>Курс/Семинар</w:t>
        </w:r>
      </w:hyperlink>
    </w:p>
    <w:p w:rsidR="00253A7C" w:rsidRPr="000462A4" w:rsidRDefault="00253A7C" w:rsidP="000462A4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>Язык:</w:t>
      </w:r>
      <w:r w:rsidRPr="000462A4">
        <w:rPr>
          <w:rFonts w:ascii="Times New Roman" w:hAnsi="Times New Roman" w:cs="Times New Roman"/>
          <w:sz w:val="28"/>
          <w:szCs w:val="24"/>
        </w:rPr>
        <w:t> </w:t>
      </w:r>
      <w:r w:rsidRPr="000462A4">
        <w:rPr>
          <w:rFonts w:ascii="Times New Roman" w:hAnsi="Times New Roman" w:cs="Times New Roman"/>
          <w:sz w:val="28"/>
          <w:szCs w:val="24"/>
          <w:lang w:val="bg-BG"/>
        </w:rPr>
        <w:t>Р</w:t>
      </w:r>
      <w:proofErr w:type="spellStart"/>
      <w:r w:rsidR="000462A4" w:rsidRPr="000462A4">
        <w:rPr>
          <w:rFonts w:ascii="Times New Roman" w:hAnsi="Times New Roman" w:cs="Times New Roman"/>
          <w:sz w:val="28"/>
          <w:szCs w:val="24"/>
          <w:lang w:val="ru-RU"/>
        </w:rPr>
        <w:t>усский</w:t>
      </w:r>
      <w:proofErr w:type="spellEnd"/>
    </w:p>
    <w:p w:rsidR="001B6C6D" w:rsidRPr="000462A4" w:rsidRDefault="002245FE" w:rsidP="000462A4">
      <w:pPr>
        <w:pStyle w:val="a3"/>
        <w:jc w:val="both"/>
        <w:rPr>
          <w:sz w:val="28"/>
          <w:lang w:val="ru-RU"/>
        </w:rPr>
      </w:pPr>
      <w:r w:rsidRPr="000462A4">
        <w:rPr>
          <w:sz w:val="28"/>
          <w:lang w:val="ru-RU"/>
        </w:rPr>
        <w:t xml:space="preserve">Этот курс направлен на обеспечение систематического и практического руководства для </w:t>
      </w:r>
      <w:r w:rsidR="00414E7B" w:rsidRPr="000462A4">
        <w:rPr>
          <w:sz w:val="28"/>
          <w:lang w:val="bg-BG"/>
        </w:rPr>
        <w:t xml:space="preserve">специалистов, принимающих участие </w:t>
      </w:r>
      <w:r w:rsidR="00414E7B" w:rsidRPr="000462A4">
        <w:rPr>
          <w:color w:val="000000"/>
          <w:sz w:val="28"/>
          <w:lang w:val="ru-RU"/>
        </w:rPr>
        <w:t>в разработке, заключении и экспертизе договоров и соглашений, разработанных Международной федерацией инженеров-консультантов (</w:t>
      </w:r>
      <w:r w:rsidR="00414E7B" w:rsidRPr="000462A4">
        <w:rPr>
          <w:color w:val="000000"/>
          <w:sz w:val="28"/>
        </w:rPr>
        <w:t>FIDIC</w:t>
      </w:r>
      <w:r w:rsidR="00414E7B" w:rsidRPr="000462A4">
        <w:rPr>
          <w:color w:val="000000"/>
          <w:sz w:val="28"/>
          <w:lang w:val="ru-RU"/>
        </w:rPr>
        <w:t>)</w:t>
      </w:r>
      <w:r w:rsidR="001B6C6D" w:rsidRPr="000462A4">
        <w:rPr>
          <w:sz w:val="28"/>
          <w:lang w:val="ru-RU"/>
        </w:rPr>
        <w:t xml:space="preserve">. </w:t>
      </w:r>
      <w:r w:rsidR="00414E7B" w:rsidRPr="000462A4">
        <w:rPr>
          <w:bCs/>
          <w:sz w:val="28"/>
          <w:lang w:val="bg-BG"/>
        </w:rPr>
        <w:t>Обучение предназначено</w:t>
      </w:r>
      <w:r w:rsidR="00414E7B" w:rsidRPr="000462A4">
        <w:rPr>
          <w:sz w:val="28"/>
          <w:lang w:val="bg-BG"/>
        </w:rPr>
        <w:t xml:space="preserve"> для </w:t>
      </w:r>
      <w:r w:rsidR="00167728" w:rsidRPr="000462A4">
        <w:rPr>
          <w:sz w:val="28"/>
          <w:lang w:val="ru-RU"/>
        </w:rPr>
        <w:t>представителей</w:t>
      </w:r>
      <w:r w:rsidRPr="000462A4">
        <w:rPr>
          <w:sz w:val="28"/>
          <w:lang w:val="ru-RU"/>
        </w:rPr>
        <w:t xml:space="preserve"> подрядчиков, работодателей, застройщиков, проектных спонсоров и доноров, страховщиков, инженеров-консультантов и архитекторов, проектных менеджеров и юристов.</w:t>
      </w:r>
    </w:p>
    <w:p w:rsidR="001B6C6D" w:rsidRPr="000462A4" w:rsidRDefault="002245FE" w:rsidP="000462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2A4">
        <w:rPr>
          <w:rFonts w:ascii="Times New Roman" w:hAnsi="Times New Roman" w:cs="Times New Roman"/>
          <w:sz w:val="28"/>
          <w:szCs w:val="28"/>
        </w:rPr>
        <w:t>T</w:t>
      </w:r>
      <w:r w:rsidRPr="000462A4">
        <w:rPr>
          <w:rFonts w:ascii="Times New Roman" w:hAnsi="Times New Roman" w:cs="Times New Roman"/>
          <w:sz w:val="28"/>
          <w:szCs w:val="28"/>
          <w:lang w:val="bg-BG"/>
        </w:rPr>
        <w:t>ренер</w:t>
      </w:r>
      <w:r w:rsidR="001B6C6D" w:rsidRPr="000462A4">
        <w:rPr>
          <w:rFonts w:ascii="Times New Roman" w:hAnsi="Times New Roman" w:cs="Times New Roman"/>
          <w:sz w:val="28"/>
          <w:szCs w:val="28"/>
          <w:lang w:val="ru-RU"/>
        </w:rPr>
        <w:t>: </w:t>
      </w:r>
    </w:p>
    <w:p w:rsidR="00115368" w:rsidRPr="000462A4" w:rsidRDefault="00115368" w:rsidP="000462A4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8"/>
          <w:lang w:val="ru-RU"/>
        </w:rPr>
        <w:t xml:space="preserve">FIDIC </w:t>
      </w:r>
      <w:r w:rsidR="002245FE" w:rsidRPr="000462A4">
        <w:rPr>
          <w:rFonts w:ascii="Times New Roman" w:hAnsi="Times New Roman" w:cs="Times New Roman"/>
          <w:sz w:val="28"/>
          <w:szCs w:val="28"/>
          <w:lang w:val="bg-BG"/>
        </w:rPr>
        <w:t>Аккредитованный тренер</w:t>
      </w:r>
      <w:r w:rsidR="002245FE" w:rsidRPr="00046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5FE" w:rsidRPr="000462A4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Pr="000462A4">
        <w:rPr>
          <w:rFonts w:ascii="Times New Roman" w:hAnsi="Times New Roman" w:cs="Times New Roman"/>
          <w:sz w:val="28"/>
          <w:szCs w:val="28"/>
          <w:lang w:val="ru-RU"/>
        </w:rPr>
        <w:t>Dispute</w:t>
      </w:r>
      <w:proofErr w:type="spellEnd"/>
      <w:r w:rsidRPr="00046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62A4">
        <w:rPr>
          <w:rFonts w:ascii="Times New Roman" w:hAnsi="Times New Roman" w:cs="Times New Roman"/>
          <w:sz w:val="28"/>
          <w:szCs w:val="28"/>
          <w:lang w:val="ru-RU"/>
        </w:rPr>
        <w:t>Adjudicator</w:t>
      </w:r>
      <w:proofErr w:type="spellEnd"/>
      <w:r w:rsidR="002245FE" w:rsidRPr="000462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5FE" w:rsidRPr="000462A4">
        <w:rPr>
          <w:rFonts w:ascii="Times New Roman" w:hAnsi="Times New Roman" w:cs="Times New Roman"/>
          <w:sz w:val="28"/>
          <w:szCs w:val="28"/>
          <w:lang w:val="bg-BG"/>
        </w:rPr>
        <w:t>(Совет по урегулированию</w:t>
      </w:r>
      <w:r w:rsidR="002245FE" w:rsidRPr="000462A4">
        <w:rPr>
          <w:rFonts w:ascii="Times New Roman" w:hAnsi="Times New Roman" w:cs="Times New Roman"/>
          <w:sz w:val="28"/>
          <w:szCs w:val="24"/>
          <w:lang w:val="bg-BG"/>
        </w:rPr>
        <w:t xml:space="preserve"> споров)</w:t>
      </w:r>
    </w:p>
    <w:p w:rsidR="001B6C6D" w:rsidRPr="000462A4" w:rsidRDefault="00EF370B" w:rsidP="000462A4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>Материалы</w:t>
      </w:r>
      <w:r w:rsidR="001B6C6D" w:rsidRPr="000462A4">
        <w:rPr>
          <w:rFonts w:ascii="Times New Roman" w:hAnsi="Times New Roman" w:cs="Times New Roman"/>
          <w:sz w:val="28"/>
          <w:szCs w:val="24"/>
          <w:lang w:val="ru-RU"/>
        </w:rPr>
        <w:t>: </w:t>
      </w:r>
    </w:p>
    <w:p w:rsidR="001B6C6D" w:rsidRPr="000462A4" w:rsidRDefault="00414E7B" w:rsidP="000462A4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bg-BG"/>
        </w:rPr>
        <w:t>Проспект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слайдов</w:t>
      </w:r>
    </w:p>
    <w:p w:rsidR="005665AA" w:rsidRPr="000462A4" w:rsidRDefault="0008228E" w:rsidP="000462A4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Условия Контракта </w:t>
      </w:r>
      <w:r w:rsidR="00414E7B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FIDIC </w:t>
      </w:r>
      <w:r w:rsidR="007E0D59" w:rsidRPr="000462A4">
        <w:rPr>
          <w:rFonts w:ascii="Times New Roman" w:hAnsi="Times New Roman" w:cs="Times New Roman"/>
          <w:sz w:val="28"/>
          <w:szCs w:val="24"/>
          <w:lang w:val="ru-RU"/>
        </w:rPr>
        <w:t>1999</w:t>
      </w:r>
      <w:r w:rsidR="00414E7B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E08A5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года </w:t>
      </w:r>
      <w:r w:rsidR="00414E7B" w:rsidRPr="000462A4">
        <w:rPr>
          <w:rFonts w:ascii="Times New Roman" w:hAnsi="Times New Roman" w:cs="Times New Roman"/>
          <w:sz w:val="28"/>
          <w:szCs w:val="24"/>
          <w:lang w:val="ru-RU"/>
        </w:rPr>
        <w:t>на русском языке</w:t>
      </w:r>
      <w:r w:rsidR="007E0D59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Красная или Желтая книга </w:t>
      </w:r>
    </w:p>
    <w:p w:rsidR="004F027C" w:rsidRPr="000462A4" w:rsidRDefault="00F42D5F" w:rsidP="000462A4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>Распечатка с уп</w:t>
      </w:r>
      <w:r w:rsidR="00414E7B" w:rsidRPr="000462A4">
        <w:rPr>
          <w:rFonts w:ascii="Times New Roman" w:hAnsi="Times New Roman" w:cs="Times New Roman"/>
          <w:sz w:val="28"/>
          <w:szCs w:val="24"/>
          <w:lang w:val="ru-RU"/>
        </w:rPr>
        <w:t>ражнения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>ми</w:t>
      </w:r>
    </w:p>
    <w:p w:rsidR="00156B3A" w:rsidRPr="000462A4" w:rsidRDefault="00274226" w:rsidP="000462A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proofErr w:type="spellStart"/>
      <w:r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bg-BG"/>
        </w:rPr>
        <w:t>Обучение</w:t>
      </w:r>
      <w:proofErr w:type="spellEnd"/>
      <w:r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bg-BG"/>
        </w:rPr>
        <w:t xml:space="preserve"> </w:t>
      </w:r>
      <w:proofErr w:type="spellStart"/>
      <w:r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bg-BG"/>
        </w:rPr>
        <w:t>включает</w:t>
      </w:r>
      <w:proofErr w:type="spellEnd"/>
      <w:r w:rsidR="00297DEB"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:</w:t>
      </w:r>
    </w:p>
    <w:p w:rsidR="00297DEB" w:rsidRPr="000462A4" w:rsidRDefault="00274226" w:rsidP="000462A4">
      <w:pPr>
        <w:pStyle w:val="aa"/>
        <w:numPr>
          <w:ilvl w:val="0"/>
          <w:numId w:val="5"/>
        </w:numPr>
        <w:spacing w:after="120"/>
        <w:ind w:left="425" w:hanging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Введение в историю </w:t>
      </w:r>
      <w:r w:rsidRPr="000462A4">
        <w:rPr>
          <w:rFonts w:ascii="Times New Roman" w:hAnsi="Times New Roman" w:cs="Times New Roman"/>
          <w:sz w:val="28"/>
          <w:szCs w:val="24"/>
        </w:rPr>
        <w:t>FIDIC</w:t>
      </w:r>
      <w:r w:rsidR="00F07A32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="00F42D5F" w:rsidRPr="000462A4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>бзор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, классификация и сравнительный анализ типовых контрактов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и соглашений </w:t>
      </w:r>
      <w:r w:rsidRPr="000462A4">
        <w:rPr>
          <w:rFonts w:ascii="Times New Roman" w:hAnsi="Times New Roman" w:cs="Times New Roman"/>
          <w:sz w:val="28"/>
          <w:szCs w:val="24"/>
        </w:rPr>
        <w:t>FIDIC</w:t>
      </w:r>
      <w:r w:rsidR="00297DEB" w:rsidRPr="000462A4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297DEB" w:rsidRPr="000462A4" w:rsidRDefault="00274226" w:rsidP="000462A4">
      <w:pPr>
        <w:pStyle w:val="aa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>Анализ „двойственной роли”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>Инженера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-консультанта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в контрактах </w:t>
      </w:r>
      <w:r w:rsidRPr="000462A4">
        <w:rPr>
          <w:rFonts w:ascii="Times New Roman" w:hAnsi="Times New Roman" w:cs="Times New Roman"/>
          <w:sz w:val="28"/>
          <w:szCs w:val="24"/>
        </w:rPr>
        <w:t>FIDIC</w:t>
      </w:r>
      <w:r w:rsidR="00297DEB" w:rsidRPr="000462A4">
        <w:rPr>
          <w:rFonts w:ascii="Times New Roman" w:hAnsi="Times New Roman" w:cs="Times New Roman"/>
          <w:sz w:val="28"/>
          <w:szCs w:val="24"/>
          <w:lang w:val="ru-RU"/>
        </w:rPr>
        <w:t>;</w:t>
      </w:r>
      <w:r w:rsidR="006213BC"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</w:p>
    <w:p w:rsidR="00F07A32" w:rsidRPr="000462A4" w:rsidRDefault="00274226" w:rsidP="000462A4">
      <w:pPr>
        <w:pStyle w:val="aa"/>
        <w:numPr>
          <w:ilvl w:val="0"/>
          <w:numId w:val="5"/>
        </w:numPr>
        <w:ind w:left="426" w:hanging="567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Рекомендации по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адаптаци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контракта к конкретному законодательству и проекту</w:t>
      </w:r>
      <w:r w:rsidR="002F3FE7"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;</w:t>
      </w:r>
    </w:p>
    <w:p w:rsidR="006213BC" w:rsidRPr="000462A4" w:rsidRDefault="00274226" w:rsidP="000462A4">
      <w:pPr>
        <w:pStyle w:val="aa"/>
        <w:numPr>
          <w:ilvl w:val="0"/>
          <w:numId w:val="5"/>
        </w:numPr>
        <w:ind w:left="426" w:hanging="567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Подробный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анализ основных статей и положений 3-х самых важных контрактов </w:t>
      </w:r>
      <w:r w:rsidRPr="000462A4">
        <w:rPr>
          <w:rFonts w:ascii="Times New Roman" w:hAnsi="Times New Roman" w:cs="Times New Roman"/>
          <w:sz w:val="28"/>
          <w:szCs w:val="24"/>
        </w:rPr>
        <w:t>FIDIC</w:t>
      </w: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издания 1999 года, а именно</w:t>
      </w:r>
      <w:r w:rsidR="006213BC"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:</w:t>
      </w:r>
    </w:p>
    <w:p w:rsidR="007B13E2" w:rsidRPr="000462A4" w:rsidRDefault="007B13E2" w:rsidP="000462A4">
      <w:pPr>
        <w:ind w:left="-141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noProof/>
          <w:sz w:val="24"/>
          <w:lang w:val="ru-RU" w:eastAsia="zh-CN"/>
        </w:rPr>
        <w:drawing>
          <wp:inline distT="0" distB="0" distL="0" distR="0" wp14:anchorId="15B493FA" wp14:editId="4B9DA2AE">
            <wp:extent cx="1023489" cy="1369672"/>
            <wp:effectExtent l="19050" t="0" r="5211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61" cy="13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2A4">
        <w:rPr>
          <w:rFonts w:ascii="Times New Roman" w:hAnsi="Times New Roman" w:cs="Times New Roman"/>
          <w:noProof/>
          <w:sz w:val="24"/>
          <w:lang w:val="ru-RU" w:eastAsia="zh-CN"/>
        </w:rPr>
        <w:drawing>
          <wp:inline distT="0" distB="0" distL="0" distR="0" wp14:anchorId="7976C446" wp14:editId="5C54B42E">
            <wp:extent cx="969198" cy="1368992"/>
            <wp:effectExtent l="19050" t="0" r="2352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98" cy="13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2A4">
        <w:rPr>
          <w:rFonts w:ascii="Times New Roman" w:hAnsi="Times New Roman" w:cs="Times New Roman"/>
          <w:noProof/>
          <w:sz w:val="24"/>
          <w:lang w:val="ru-RU" w:eastAsia="zh-CN"/>
        </w:rPr>
        <w:drawing>
          <wp:inline distT="0" distB="0" distL="0" distR="0" wp14:anchorId="38912134" wp14:editId="32B38F39">
            <wp:extent cx="971173" cy="1377851"/>
            <wp:effectExtent l="19050" t="0" r="377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73" cy="13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3BC" w:rsidRPr="000462A4" w:rsidRDefault="00274226" w:rsidP="000462A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Красная книга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«Условия контракта на строительство»;</w:t>
      </w:r>
    </w:p>
    <w:p w:rsidR="006213BC" w:rsidRPr="000462A4" w:rsidRDefault="00274226" w:rsidP="00046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Желтая книга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«Условия контракта на поставку оборудования, проектирование и строительство»;</w:t>
      </w:r>
    </w:p>
    <w:p w:rsidR="006213BC" w:rsidRPr="000462A4" w:rsidRDefault="00274226" w:rsidP="000462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proofErr w:type="spellStart"/>
      <w:r w:rsidRPr="000462A4">
        <w:rPr>
          <w:rFonts w:ascii="Times New Roman" w:hAnsi="Times New Roman" w:cs="Times New Roman"/>
          <w:sz w:val="28"/>
          <w:szCs w:val="24"/>
          <w:lang w:val="ru-RU"/>
        </w:rPr>
        <w:lastRenderedPageBreak/>
        <w:t>Серебрянная</w:t>
      </w:r>
      <w:proofErr w:type="spellEnd"/>
      <w:r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книга </w:t>
      </w:r>
      <w:r w:rsidRPr="000462A4">
        <w:rPr>
          <w:rFonts w:ascii="Times New Roman" w:eastAsia="Calibri" w:hAnsi="Times New Roman" w:cs="Times New Roman"/>
          <w:sz w:val="28"/>
          <w:szCs w:val="24"/>
          <w:lang w:val="ru-RU"/>
        </w:rPr>
        <w:t>« Условия контракта для проектов типа «ИПС» и проектов, выполняемых «под ключ».</w:t>
      </w:r>
    </w:p>
    <w:p w:rsidR="00156B3A" w:rsidRPr="000462A4" w:rsidRDefault="00274226" w:rsidP="00046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 xml:space="preserve">Последние новости </w:t>
      </w:r>
      <w:r w:rsidRPr="000462A4">
        <w:rPr>
          <w:rFonts w:ascii="Times New Roman" w:hAnsi="Times New Roman" w:cs="Times New Roman"/>
          <w:b/>
          <w:sz w:val="28"/>
          <w:szCs w:val="24"/>
        </w:rPr>
        <w:t>FIDIC</w:t>
      </w:r>
      <w:r w:rsidR="002C7EBB"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 xml:space="preserve">! </w:t>
      </w:r>
      <w:r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Аккредитованный тренер скажет вам</w:t>
      </w:r>
      <w:r w:rsidR="002C7EBB" w:rsidRPr="000462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:</w:t>
      </w:r>
    </w:p>
    <w:p w:rsidR="007B13E2" w:rsidRPr="000462A4" w:rsidRDefault="007B13E2" w:rsidP="00046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anchor distT="0" distB="0" distL="114300" distR="114300" simplePos="0" relativeHeight="251658240" behindDoc="0" locked="0" layoutInCell="1" allowOverlap="1" wp14:anchorId="2D8A548D" wp14:editId="2EDA6CB5">
            <wp:simplePos x="0" y="0"/>
            <wp:positionH relativeFrom="column">
              <wp:posOffset>3383915</wp:posOffset>
            </wp:positionH>
            <wp:positionV relativeFrom="paragraph">
              <wp:posOffset>383540</wp:posOffset>
            </wp:positionV>
            <wp:extent cx="974090" cy="1323975"/>
            <wp:effectExtent l="0" t="0" r="0" b="9525"/>
            <wp:wrapSquare wrapText="bothSides"/>
            <wp:docPr id="14" name="Picture 14" descr="D:\AKS\PM Lectures\short-cover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AKS\PM Lectures\short-cover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2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Почему Всемирный банк уже рекомендует применение Зеленой книги 1999г. для небольших проектов</w:t>
      </w:r>
      <w:r w:rsidR="002F3FE7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?</w:t>
      </w:r>
    </w:p>
    <w:p w:rsidR="007B13E2" w:rsidRPr="000462A4" w:rsidRDefault="007B13E2" w:rsidP="000462A4">
      <w:pPr>
        <w:shd w:val="clear" w:color="auto" w:fill="FFFFFF"/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br w:type="textWrapping" w:clear="all"/>
      </w:r>
    </w:p>
    <w:p w:rsidR="00274226" w:rsidRPr="000462A4" w:rsidRDefault="00787513" w:rsidP="00046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Почему новая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Бел</w:t>
      </w: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ая книга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2017 г. </w:t>
      </w: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Является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универсальн</w:t>
      </w: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ым с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оглашение</w:t>
      </w: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м для услуг?</w:t>
      </w:r>
    </w:p>
    <w:p w:rsidR="00274226" w:rsidRPr="000462A4" w:rsidRDefault="00787513" w:rsidP="00046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Какие другие про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формы соглашений издал </w:t>
      </w:r>
      <w:r w:rsidR="00274226" w:rsidRPr="000462A4">
        <w:rPr>
          <w:rFonts w:ascii="Times New Roman" w:hAnsi="Times New Roman" w:cs="Times New Roman"/>
          <w:sz w:val="28"/>
          <w:szCs w:val="24"/>
        </w:rPr>
        <w:t>FIDIC</w:t>
      </w:r>
      <w:r w:rsidR="00274226" w:rsidRPr="000462A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в 2017 г.</w:t>
      </w:r>
    </w:p>
    <w:p w:rsidR="007B13E2" w:rsidRPr="000462A4" w:rsidRDefault="0026762C" w:rsidP="000462A4">
      <w:pPr>
        <w:shd w:val="clear" w:color="auto" w:fill="FFFFFF"/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0C891A2C" wp14:editId="02BDC93A">
            <wp:extent cx="1145802" cy="1429398"/>
            <wp:effectExtent l="0" t="0" r="0" b="0"/>
            <wp:docPr id="2" name="Picture 1" descr="E:\AKS\WB5-cover-3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S\WB5-cover-3D_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50" cy="14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45DD753C" wp14:editId="5BE75D5B">
            <wp:extent cx="1175297" cy="1466193"/>
            <wp:effectExtent l="0" t="0" r="0" b="0"/>
            <wp:docPr id="3" name="Picture 2" descr="E:\AKS\JV2-cover-3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KS\JV2-cover-3D_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28" cy="146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55F565BE" wp14:editId="424D0343">
            <wp:extent cx="1170937" cy="1466193"/>
            <wp:effectExtent l="0" t="0" r="0" b="0"/>
            <wp:docPr id="4" name="Picture 3" descr="E:\AKS\sub-con2-cover-3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KS\sub-con2-cover-3D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06" cy="15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A4">
        <w:rPr>
          <w:rFonts w:ascii="Times New Roman" w:hAnsi="Times New Roman" w:cs="Times New Roman"/>
          <w:noProof/>
          <w:sz w:val="24"/>
          <w:lang w:val="ru-RU" w:eastAsia="zh-CN"/>
        </w:rPr>
        <w:drawing>
          <wp:inline distT="0" distB="0" distL="0" distR="0" wp14:anchorId="1F8307FE" wp14:editId="00D66F46">
            <wp:extent cx="1233892" cy="1545021"/>
            <wp:effectExtent l="0" t="0" r="4358" b="0"/>
            <wp:docPr id="5" name="Picture 4" descr="http://fidic.org/sites/default/files/styles/bookshop_homepage_imageflow/public/book-images/DOS_civil2016-cover-3D_NEW.png?itok=WTz10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dic.org/sites/default/files/styles/bookshop_homepage_imageflow/public/book-images/DOS_civil2016-cover-3D_NEW.png?itok=WTz10bk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0" cy="15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AE" w:rsidRPr="000462A4" w:rsidRDefault="00787513" w:rsidP="000462A4">
      <w:pPr>
        <w:numPr>
          <w:ilvl w:val="0"/>
          <w:numId w:val="3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П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очему во втором издании Желтой книги 2017 г. на 50% больше слов?</w:t>
      </w:r>
    </w:p>
    <w:p w:rsidR="002C7EBB" w:rsidRPr="000462A4" w:rsidRDefault="00787513" w:rsidP="000462A4">
      <w:pPr>
        <w:numPr>
          <w:ilvl w:val="0"/>
          <w:numId w:val="3"/>
        </w:numPr>
        <w:shd w:val="clear" w:color="auto" w:fill="FFFFFF"/>
        <w:spacing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</w:pP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К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акие процедуры Золотой книги 2008 г. уже интегрированы в новые издания 201</w:t>
      </w:r>
      <w:r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7 г. Красной, Желтой и Серебрян</w:t>
      </w:r>
      <w:r w:rsidR="00274226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ой книг</w:t>
      </w:r>
      <w:r w:rsidR="002C7EBB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>?</w:t>
      </w:r>
    </w:p>
    <w:p w:rsidR="0026762C" w:rsidRPr="000462A4" w:rsidRDefault="000E45E2" w:rsidP="000462A4">
      <w:pPr>
        <w:shd w:val="clear" w:color="auto" w:fill="FFFFFF"/>
        <w:tabs>
          <w:tab w:val="left" w:pos="4226"/>
        </w:tabs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0462A4">
        <w:rPr>
          <w:rFonts w:ascii="Times New Roman" w:eastAsiaTheme="minorHAnsi" w:hAnsi="Times New Roman" w:cs="Times New Roman"/>
          <w:noProof/>
          <w:sz w:val="24"/>
          <w:lang w:val="ru-R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7754B" wp14:editId="2ADBA62D">
                <wp:simplePos x="0" y="0"/>
                <wp:positionH relativeFrom="column">
                  <wp:posOffset>1439545</wp:posOffset>
                </wp:positionH>
                <wp:positionV relativeFrom="paragraph">
                  <wp:posOffset>711200</wp:posOffset>
                </wp:positionV>
                <wp:extent cx="869950" cy="485775"/>
                <wp:effectExtent l="0" t="25400" r="44450" b="476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485775"/>
                        </a:xfrm>
                        <a:prstGeom prst="rightArrow">
                          <a:avLst>
                            <a:gd name="adj1" fmla="val 50000"/>
                            <a:gd name="adj2" fmla="val 44771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2B1040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13.35pt;margin-top:56pt;width:68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" fillcolor="#4f81bd [3204]" strokecolor="#4f81bd [3204]">
                <v:fill color2="#213a59 [1476]" rotate="t" angle="-90" focus="100%" type="gradient"/>
              </v:shape>
            </w:pict>
          </mc:Fallback>
        </mc:AlternateContent>
      </w:r>
      <w:r w:rsidR="0026762C" w:rsidRPr="000462A4">
        <w:rPr>
          <w:rFonts w:ascii="Times New Roman" w:hAnsi="Times New Roman" w:cs="Times New Roman"/>
          <w:noProof/>
          <w:sz w:val="24"/>
          <w:lang w:val="ru-RU" w:eastAsia="zh-CN"/>
        </w:rPr>
        <w:drawing>
          <wp:anchor distT="0" distB="0" distL="114300" distR="114300" simplePos="0" relativeHeight="251659264" behindDoc="0" locked="0" layoutInCell="1" allowOverlap="1" wp14:anchorId="4782C8D1" wp14:editId="7F5EC3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742" cy="1911927"/>
            <wp:effectExtent l="19050" t="0" r="0" b="0"/>
            <wp:wrapSquare wrapText="bothSides"/>
            <wp:docPr id="6" name="Picture 7" descr="http://fidic.org/sites/default/files/styles/book_cover_teaser/public/book-images/DBO-3D.jpg?itok=cQ_j5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dic.org/sites/default/files/styles/book_cover_teaser/public/book-images/DBO-3D.jpg?itok=cQ_j5e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F7D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t xml:space="preserve">                      </w:t>
      </w:r>
      <w:r w:rsidR="00787513"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718A936B" wp14:editId="6C466B20">
            <wp:extent cx="1028308" cy="1285386"/>
            <wp:effectExtent l="0" t="0" r="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y red-cover-3D-NEW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715" cy="1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513"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6488A32F" wp14:editId="68E925F4">
            <wp:extent cx="1023755" cy="127969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-YB-cover-3D-NEW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25" cy="13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513" w:rsidRPr="000462A4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ru-RU" w:eastAsia="zh-CN"/>
        </w:rPr>
        <w:drawing>
          <wp:inline distT="0" distB="0" distL="0" distR="0" wp14:anchorId="5361E059" wp14:editId="6CE8A6F2">
            <wp:extent cx="1044285" cy="13053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7 silver-cover-3D-NEW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19" cy="132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F7D" w:rsidRPr="000462A4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g-BG"/>
        </w:rPr>
        <w:br w:type="textWrapping" w:clear="all"/>
      </w:r>
    </w:p>
    <w:p w:rsidR="00805A13" w:rsidRPr="000462A4" w:rsidRDefault="00805A13" w:rsidP="000462A4">
      <w:pPr>
        <w:shd w:val="clear" w:color="auto" w:fill="FFFFFF"/>
        <w:tabs>
          <w:tab w:val="left" w:pos="4226"/>
        </w:tabs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805A13" w:rsidRPr="000462A4" w:rsidRDefault="00805A13" w:rsidP="000462A4">
      <w:pPr>
        <w:shd w:val="clear" w:color="auto" w:fill="FFFFFF"/>
        <w:tabs>
          <w:tab w:val="left" w:pos="4226"/>
        </w:tabs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805A13" w:rsidRPr="000462A4" w:rsidRDefault="00805A13" w:rsidP="000462A4">
      <w:pPr>
        <w:shd w:val="clear" w:color="auto" w:fill="FFFFFF"/>
        <w:tabs>
          <w:tab w:val="left" w:pos="4226"/>
        </w:tabs>
        <w:spacing w:before="100" w:beforeAutospacing="1" w:after="100" w:afterAutospacing="1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805A13" w:rsidRPr="000462A4" w:rsidRDefault="00805A13" w:rsidP="000462A4">
      <w:pPr>
        <w:pStyle w:val="Subject"/>
        <w:spacing w:before="0" w:after="240"/>
        <w:ind w:left="0" w:firstLine="0"/>
        <w:jc w:val="both"/>
        <w:rPr>
          <w:rFonts w:ascii="Times New Roman" w:hAnsi="Times New Roman"/>
          <w:b/>
          <w:bCs/>
          <w:sz w:val="28"/>
          <w:szCs w:val="24"/>
          <w:lang w:val="ru-RU" w:eastAsia="en-US"/>
        </w:rPr>
      </w:pPr>
    </w:p>
    <w:p w:rsidR="00805A13" w:rsidRPr="000462A4" w:rsidRDefault="00805A13" w:rsidP="000462A4">
      <w:pPr>
        <w:pStyle w:val="Subject"/>
        <w:spacing w:before="0" w:after="240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val="ru-RU" w:eastAsia="en-US"/>
        </w:rPr>
      </w:pPr>
      <w:r w:rsidRPr="000462A4">
        <w:rPr>
          <w:rFonts w:ascii="Times New Roman" w:hAnsi="Times New Roman"/>
          <w:b/>
          <w:bCs/>
          <w:sz w:val="28"/>
          <w:szCs w:val="24"/>
          <w:lang w:val="ru-RU" w:eastAsia="en-US"/>
        </w:rPr>
        <w:lastRenderedPageBreak/>
        <w:t>Пример программы</w:t>
      </w:r>
    </w:p>
    <w:tbl>
      <w:tblPr>
        <w:tblW w:w="9923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418"/>
        <w:gridCol w:w="3897"/>
        <w:gridCol w:w="4608"/>
      </w:tblGrid>
      <w:tr w:rsidR="00041303" w:rsidRPr="000462A4" w:rsidTr="0063342C">
        <w:trPr>
          <w:trHeight w:val="146"/>
        </w:trPr>
        <w:tc>
          <w:tcPr>
            <w:tcW w:w="1418" w:type="dxa"/>
            <w:shd w:val="clear" w:color="auto" w:fill="FFCC99"/>
          </w:tcPr>
          <w:p w:rsidR="00041303" w:rsidRPr="000462A4" w:rsidRDefault="0004130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897" w:type="dxa"/>
            <w:shd w:val="clear" w:color="auto" w:fill="FFCC99"/>
          </w:tcPr>
          <w:p w:rsidR="00041303" w:rsidRPr="000462A4" w:rsidRDefault="003D7300" w:rsidP="000462A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/>
                <w:sz w:val="28"/>
              </w:rPr>
              <w:t>Первый</w:t>
            </w:r>
            <w:proofErr w:type="spellEnd"/>
            <w:r w:rsidRPr="000462A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/>
                <w:sz w:val="28"/>
              </w:rPr>
              <w:t>день</w:t>
            </w:r>
            <w:proofErr w:type="spellEnd"/>
          </w:p>
        </w:tc>
        <w:tc>
          <w:tcPr>
            <w:tcW w:w="4608" w:type="dxa"/>
            <w:shd w:val="clear" w:color="auto" w:fill="FFCC99"/>
          </w:tcPr>
          <w:p w:rsidR="00041303" w:rsidRPr="000462A4" w:rsidRDefault="003D7300" w:rsidP="000462A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/>
                <w:sz w:val="28"/>
              </w:rPr>
              <w:t>Второй</w:t>
            </w:r>
            <w:proofErr w:type="spellEnd"/>
            <w:r w:rsidRPr="000462A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/>
                <w:sz w:val="28"/>
              </w:rPr>
              <w:t>день</w:t>
            </w:r>
            <w:proofErr w:type="spellEnd"/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</w:tcPr>
          <w:p w:rsidR="00041303" w:rsidRPr="000462A4" w:rsidRDefault="0004130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:0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0-9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  <w:tc>
          <w:tcPr>
            <w:tcW w:w="3897" w:type="dxa"/>
          </w:tcPr>
          <w:p w:rsidR="00041303" w:rsidRPr="000462A4" w:rsidRDefault="003D7300" w:rsidP="000462A4">
            <w:p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Регистрация участников</w:t>
            </w:r>
          </w:p>
        </w:tc>
        <w:tc>
          <w:tcPr>
            <w:tcW w:w="4608" w:type="dxa"/>
          </w:tcPr>
          <w:p w:rsidR="00041303" w:rsidRPr="000462A4" w:rsidRDefault="00041303" w:rsidP="000462A4">
            <w:p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041303" w:rsidRPr="000462A4" w:rsidTr="0063342C">
        <w:trPr>
          <w:trHeight w:val="1859"/>
        </w:trPr>
        <w:tc>
          <w:tcPr>
            <w:tcW w:w="1418" w:type="dxa"/>
          </w:tcPr>
          <w:p w:rsidR="00041303" w:rsidRPr="000462A4" w:rsidRDefault="00C312C9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00-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3897" w:type="dxa"/>
          </w:tcPr>
          <w:p w:rsidR="00041303" w:rsidRPr="000462A4" w:rsidRDefault="002F0183" w:rsidP="000462A4">
            <w:p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Глава</w:t>
            </w:r>
            <w:proofErr w:type="gramStart"/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proofErr w:type="gramEnd"/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: </w:t>
            </w:r>
            <w:r w:rsidR="003D7300" w:rsidRPr="000462A4">
              <w:rPr>
                <w:rFonts w:ascii="Times New Roman" w:hAnsi="Times New Roman" w:cs="Times New Roman"/>
                <w:sz w:val="28"/>
                <w:lang w:val="ru-RU"/>
              </w:rPr>
              <w:t>Введение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ФИДИК</w:t>
            </w:r>
            <w:r w:rsidRPr="0004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стандартных форм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ФИДИК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Бизнес-стратегия индустрии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Новые</w:t>
            </w:r>
            <w:proofErr w:type="spellEnd"/>
            <w:r w:rsidRPr="0004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формы</w:t>
            </w:r>
            <w:proofErr w:type="spellEnd"/>
            <w:r w:rsidRPr="0004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462A4">
              <w:rPr>
                <w:rFonts w:ascii="Times New Roman" w:hAnsi="Times New Roman" w:cs="Times New Roman"/>
                <w:sz w:val="24"/>
                <w:szCs w:val="24"/>
              </w:rPr>
              <w:t xml:space="preserve">FIDIC </w:t>
            </w:r>
            <w:r w:rsidRPr="0004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2017 г</w:t>
            </w:r>
            <w:r w:rsidRPr="000462A4">
              <w:rPr>
                <w:rFonts w:ascii="Times New Roman" w:eastAsia="Times New Roman" w:hAnsi="Times New Roman" w:cs="Times New Roman"/>
                <w:color w:val="000000"/>
                <w:szCs w:val="20"/>
                <w:lang w:eastAsia="bg-BG"/>
              </w:rPr>
              <w:t>.</w:t>
            </w:r>
          </w:p>
        </w:tc>
        <w:tc>
          <w:tcPr>
            <w:tcW w:w="4608" w:type="dxa"/>
          </w:tcPr>
          <w:p w:rsidR="00A42695" w:rsidRPr="000462A4" w:rsidRDefault="002F018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A42695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4: 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Управление проектами</w:t>
            </w:r>
          </w:p>
          <w:p w:rsidR="00A42695" w:rsidRPr="000462A4" w:rsidRDefault="002F0183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Статья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A42695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8 </w:t>
            </w:r>
            <w:r w:rsidR="006C3CC0" w:rsidRPr="000462A4">
              <w:rPr>
                <w:rFonts w:ascii="Times New Roman" w:hAnsi="Times New Roman" w:cs="Times New Roman"/>
                <w:bCs/>
                <w:sz w:val="24"/>
                <w:szCs w:val="20"/>
                <w:lang w:val="ru-RU"/>
              </w:rPr>
              <w:t xml:space="preserve">Начало, Задержки </w:t>
            </w:r>
            <w:r w:rsidR="006C3CC0" w:rsidRPr="000462A4">
              <w:rPr>
                <w:rFonts w:ascii="Times New Roman" w:hAnsi="Times New Roman" w:cs="Times New Roman"/>
                <w:bCs/>
                <w:sz w:val="24"/>
                <w:szCs w:val="20"/>
                <w:lang w:val="bg-BG"/>
              </w:rPr>
              <w:t>и</w:t>
            </w:r>
            <w:r w:rsidR="006C3CC0" w:rsidRPr="000462A4">
              <w:rPr>
                <w:rFonts w:ascii="Times New Roman" w:hAnsi="Times New Roman" w:cs="Times New Roman"/>
                <w:bCs/>
                <w:sz w:val="24"/>
                <w:szCs w:val="20"/>
                <w:lang w:val="ru-RU"/>
              </w:rPr>
              <w:t xml:space="preserve"> Приостановка Работ</w:t>
            </w:r>
          </w:p>
          <w:p w:rsidR="00A42695" w:rsidRPr="000462A4" w:rsidRDefault="006C3CC0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A42695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10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Приемка Объектов Заказчиком</w:t>
            </w:r>
          </w:p>
          <w:p w:rsidR="00A42695" w:rsidRPr="000462A4" w:rsidRDefault="006C3CC0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A42695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11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Ответственность за Недостатки</w:t>
            </w:r>
          </w:p>
          <w:p w:rsidR="00DA437A" w:rsidRPr="000462A4" w:rsidRDefault="006C3CC0" w:rsidP="000462A4">
            <w:p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CF1C60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5: 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Испытания</w:t>
            </w:r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  <w:shd w:val="clear" w:color="auto" w:fill="F2DBDB" w:themeFill="accent2" w:themeFillTint="33"/>
          </w:tcPr>
          <w:p w:rsidR="00041303" w:rsidRPr="000462A4" w:rsidRDefault="00C312C9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30-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  <w:tc>
          <w:tcPr>
            <w:tcW w:w="3897" w:type="dxa"/>
            <w:shd w:val="clear" w:color="auto" w:fill="F2DBDB" w:themeFill="accent2" w:themeFillTint="33"/>
          </w:tcPr>
          <w:p w:rsidR="00041303" w:rsidRPr="000462A4" w:rsidRDefault="003D7300" w:rsidP="000462A4">
            <w:pPr>
              <w:tabs>
                <w:tab w:val="left" w:pos="397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8"/>
              </w:rPr>
              <w:t>Кофе-брейк</w:t>
            </w:r>
            <w:proofErr w:type="spellEnd"/>
          </w:p>
        </w:tc>
        <w:tc>
          <w:tcPr>
            <w:tcW w:w="4608" w:type="dxa"/>
            <w:shd w:val="clear" w:color="auto" w:fill="F2DBDB" w:themeFill="accent2" w:themeFillTint="33"/>
          </w:tcPr>
          <w:p w:rsidR="00041303" w:rsidRPr="000462A4" w:rsidRDefault="003D7300" w:rsidP="000462A4">
            <w:pPr>
              <w:tabs>
                <w:tab w:val="left" w:pos="3612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8"/>
              </w:rPr>
              <w:t>Кофе-брейк</w:t>
            </w:r>
            <w:proofErr w:type="spellEnd"/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</w:tcPr>
          <w:p w:rsidR="00041303" w:rsidRPr="000462A4" w:rsidRDefault="00C312C9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00-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3897" w:type="dxa"/>
          </w:tcPr>
          <w:p w:rsidR="00041303" w:rsidRPr="000462A4" w:rsidRDefault="002F018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2. </w:t>
            </w:r>
            <w:r w:rsidR="003D7300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Контрактные документы 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Зеленая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книга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1999 г.</w:t>
            </w:r>
          </w:p>
          <w:p w:rsidR="003D7300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Красная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книга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1999 г.</w:t>
            </w:r>
          </w:p>
          <w:p w:rsidR="003D7300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Серебрянная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книга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1999 г.</w:t>
            </w:r>
          </w:p>
          <w:p w:rsidR="00C312C9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Пурпурная книга</w:t>
            </w:r>
            <w:r w:rsidR="00BD15FE"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  <w:r w:rsidR="00C312C9"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2006-2010</w:t>
            </w:r>
          </w:p>
          <w:p w:rsidR="003D7300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Золотая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книга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2008 г.</w:t>
            </w:r>
          </w:p>
          <w:p w:rsidR="003D7300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Стороны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договора</w:t>
            </w:r>
            <w:proofErr w:type="spellEnd"/>
          </w:p>
          <w:p w:rsidR="003D7300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Подготовка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Особых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условий</w:t>
            </w:r>
            <w:proofErr w:type="spellEnd"/>
          </w:p>
          <w:p w:rsidR="00041303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 xml:space="preserve">Адаптация </w:t>
            </w:r>
            <w:r w:rsidR="0063342C"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Книг</w:t>
            </w:r>
            <w:r w:rsidR="00BD15FE"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 xml:space="preserve"> </w:t>
            </w: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 xml:space="preserve">FIDIC 1999 </w:t>
            </w:r>
          </w:p>
          <w:p w:rsidR="00E27F1C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Какой контракт использовать: разделение рисков</w:t>
            </w:r>
          </w:p>
          <w:p w:rsidR="00041303" w:rsidRPr="000462A4" w:rsidRDefault="003D7300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Золотые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63342C"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принципы</w:t>
            </w:r>
            <w:proofErr w:type="spellEnd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договоров</w:t>
            </w:r>
            <w:proofErr w:type="spellEnd"/>
          </w:p>
        </w:tc>
        <w:tc>
          <w:tcPr>
            <w:tcW w:w="4608" w:type="dxa"/>
          </w:tcPr>
          <w:p w:rsidR="00041303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DA437A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6: </w:t>
            </w:r>
            <w:r w:rsidR="00F45119" w:rsidRPr="000462A4">
              <w:rPr>
                <w:rFonts w:ascii="Times New Roman" w:hAnsi="Times New Roman" w:cs="Times New Roman"/>
                <w:sz w:val="28"/>
                <w:lang w:val="ru-RU"/>
              </w:rPr>
              <w:t>Финансовые процедуры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12 (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ЧК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)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Измерение и Оценка  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13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Изменения и Корректировка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14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Цена Контракта и Оплата</w:t>
            </w:r>
          </w:p>
          <w:p w:rsidR="00C913D3" w:rsidRPr="000462A4" w:rsidRDefault="00C913D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C3CC0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Cs w:val="20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Упражнения и кейсы</w:t>
            </w:r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  <w:shd w:val="clear" w:color="auto" w:fill="F2DBDB" w:themeFill="accent2" w:themeFillTint="33"/>
          </w:tcPr>
          <w:p w:rsidR="00041303" w:rsidRPr="000462A4" w:rsidRDefault="0004130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30-13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3897" w:type="dxa"/>
            <w:shd w:val="clear" w:color="auto" w:fill="F2DBDB" w:themeFill="accent2" w:themeFillTint="33"/>
          </w:tcPr>
          <w:p w:rsidR="00041303" w:rsidRPr="000462A4" w:rsidRDefault="002F018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sz w:val="28"/>
              </w:rPr>
              <w:t>Обед</w:t>
            </w:r>
            <w:proofErr w:type="spellEnd"/>
          </w:p>
        </w:tc>
        <w:tc>
          <w:tcPr>
            <w:tcW w:w="4608" w:type="dxa"/>
            <w:shd w:val="clear" w:color="auto" w:fill="F2DBDB" w:themeFill="accent2" w:themeFillTint="33"/>
          </w:tcPr>
          <w:p w:rsidR="00041303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sz w:val="28"/>
              </w:rPr>
              <w:t>Обед</w:t>
            </w:r>
            <w:proofErr w:type="spellEnd"/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</w:tcPr>
          <w:p w:rsidR="00041303" w:rsidRPr="000462A4" w:rsidRDefault="0004130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30-15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  <w:tc>
          <w:tcPr>
            <w:tcW w:w="3897" w:type="dxa"/>
          </w:tcPr>
          <w:p w:rsidR="00041303" w:rsidRPr="000462A4" w:rsidRDefault="002F018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Обязанности основных сторон</w:t>
            </w:r>
          </w:p>
          <w:p w:rsidR="002F0183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1 – общие положения</w:t>
            </w:r>
          </w:p>
          <w:p w:rsidR="002F0183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Статья 2 Заказчик</w:t>
            </w:r>
          </w:p>
          <w:p w:rsidR="002F0183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Статья 3 Инженер / Представитель заказчика</w:t>
            </w:r>
          </w:p>
          <w:p w:rsidR="002F0183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Статья 4 Подрядчик</w:t>
            </w:r>
          </w:p>
          <w:p w:rsidR="00BD15FE" w:rsidRPr="000462A4" w:rsidRDefault="002F0183" w:rsidP="000462A4">
            <w:pPr>
              <w:pStyle w:val="aa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Названный Субподрядчик</w:t>
            </w:r>
          </w:p>
        </w:tc>
        <w:tc>
          <w:tcPr>
            <w:tcW w:w="4608" w:type="dxa"/>
          </w:tcPr>
          <w:p w:rsidR="00041303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DA437A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7: 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Приостановление работ и расторжение Контракта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15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Расторжение контракта Заказчико</w:t>
            </w:r>
            <w:r w:rsidR="0063342C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м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Статья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16 </w:t>
            </w:r>
            <w:r w:rsidR="008A07EB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Приостановка работ и Расторжение контракта Подрядчиком</w:t>
            </w:r>
          </w:p>
          <w:p w:rsidR="00DA437A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DA437A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8: </w:t>
            </w:r>
            <w:r w:rsidR="008A07EB" w:rsidRPr="000462A4">
              <w:rPr>
                <w:rFonts w:ascii="Times New Roman" w:hAnsi="Times New Roman" w:cs="Times New Roman"/>
                <w:sz w:val="28"/>
                <w:lang w:val="ru-RU"/>
              </w:rPr>
              <w:t>Риск, ответственность, страхование и Форс-мажор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17 </w:t>
            </w:r>
            <w:r w:rsidR="008A07EB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Риск и Ответственность</w:t>
            </w:r>
          </w:p>
          <w:p w:rsidR="00DA437A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A437A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18 </w:t>
            </w:r>
            <w:r w:rsidR="008A07EB" w:rsidRPr="000462A4">
              <w:rPr>
                <w:rFonts w:ascii="Times New Roman" w:hAnsi="Times New Roman" w:cs="Times New Roman"/>
                <w:bCs/>
                <w:sz w:val="24"/>
                <w:szCs w:val="20"/>
                <w:lang w:val="ru-RU"/>
              </w:rPr>
              <w:t>Страхование</w:t>
            </w:r>
          </w:p>
          <w:p w:rsidR="00C913D3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C913D3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19 </w:t>
            </w:r>
            <w:r w:rsidR="008A07EB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Обстоятельства Непреодолимой Силы</w:t>
            </w:r>
          </w:p>
        </w:tc>
      </w:tr>
      <w:tr w:rsidR="00041303" w:rsidRPr="000462A4" w:rsidTr="0063342C">
        <w:trPr>
          <w:trHeight w:val="146"/>
        </w:trPr>
        <w:tc>
          <w:tcPr>
            <w:tcW w:w="1418" w:type="dxa"/>
            <w:shd w:val="clear" w:color="auto" w:fill="F2DBDB" w:themeFill="accent2" w:themeFillTint="33"/>
          </w:tcPr>
          <w:p w:rsidR="00041303" w:rsidRPr="000462A4" w:rsidRDefault="00DA437A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15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00-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="00041303" w:rsidRPr="000462A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3897" w:type="dxa"/>
            <w:shd w:val="clear" w:color="auto" w:fill="F2DBDB" w:themeFill="accent2" w:themeFillTint="33"/>
          </w:tcPr>
          <w:p w:rsidR="00041303" w:rsidRPr="000462A4" w:rsidRDefault="002F0183" w:rsidP="000462A4">
            <w:pPr>
              <w:tabs>
                <w:tab w:val="left" w:pos="849"/>
              </w:tabs>
              <w:spacing w:before="60" w:after="60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8"/>
              </w:rPr>
              <w:t>Кофе-брейк</w:t>
            </w:r>
            <w:proofErr w:type="spellEnd"/>
          </w:p>
        </w:tc>
        <w:tc>
          <w:tcPr>
            <w:tcW w:w="4608" w:type="dxa"/>
            <w:shd w:val="clear" w:color="auto" w:fill="F2DBDB" w:themeFill="accent2" w:themeFillTint="33"/>
          </w:tcPr>
          <w:p w:rsidR="00041303" w:rsidRPr="000462A4" w:rsidRDefault="008A07EB" w:rsidP="000462A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8"/>
              </w:rPr>
              <w:t>Кофе-брейк</w:t>
            </w:r>
            <w:proofErr w:type="spellEnd"/>
          </w:p>
        </w:tc>
      </w:tr>
      <w:tr w:rsidR="00041303" w:rsidRPr="000462A4" w:rsidTr="00805A13">
        <w:trPr>
          <w:trHeight w:val="2108"/>
        </w:trPr>
        <w:tc>
          <w:tcPr>
            <w:tcW w:w="1418" w:type="dxa"/>
          </w:tcPr>
          <w:p w:rsidR="00041303" w:rsidRPr="000462A4" w:rsidRDefault="0004130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30-17</w:t>
            </w:r>
            <w:r w:rsidR="00805A13" w:rsidRPr="000462A4">
              <w:rPr>
                <w:rFonts w:ascii="Times New Roman" w:hAnsi="Times New Roman" w:cs="Times New Roman"/>
                <w:sz w:val="28"/>
                <w:lang w:val="ru-RU"/>
              </w:rPr>
              <w:t>:</w:t>
            </w: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00</w:t>
            </w:r>
          </w:p>
        </w:tc>
        <w:tc>
          <w:tcPr>
            <w:tcW w:w="3897" w:type="dxa"/>
          </w:tcPr>
          <w:p w:rsidR="002F0183" w:rsidRPr="000462A4" w:rsidRDefault="002F0183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>Глава 4. Управление проектами</w:t>
            </w:r>
          </w:p>
          <w:p w:rsidR="00CF1C60" w:rsidRPr="000462A4" w:rsidRDefault="002F0183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CF1C60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5 (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Ж</w:t>
            </w:r>
            <w:r w:rsidR="00CF1C60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&amp;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СК</w:t>
            </w:r>
            <w:r w:rsidR="00CF1C60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) 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Проектирование</w:t>
            </w:r>
          </w:p>
          <w:p w:rsidR="00041303" w:rsidRPr="000462A4" w:rsidRDefault="002F0183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CF1C60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6 </w:t>
            </w:r>
            <w:r w:rsidRPr="000462A4">
              <w:rPr>
                <w:rFonts w:ascii="Times New Roman" w:hAnsi="Times New Roman" w:cs="Times New Roman"/>
                <w:bCs/>
                <w:sz w:val="24"/>
                <w:szCs w:val="20"/>
                <w:lang w:val="ru-RU"/>
              </w:rPr>
              <w:t>Персонал и Рабочая Сила</w:t>
            </w:r>
          </w:p>
          <w:p w:rsidR="00CF1C60" w:rsidRPr="000462A4" w:rsidRDefault="002F0183" w:rsidP="000462A4">
            <w:pPr>
              <w:pStyle w:val="aa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ru-RU"/>
              </w:rPr>
              <w:t>Статья</w:t>
            </w: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CF1C60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7 </w:t>
            </w:r>
            <w:r w:rsidRPr="000462A4">
              <w:rPr>
                <w:rFonts w:ascii="Times New Roman" w:hAnsi="Times New Roman" w:cs="Times New Roman"/>
                <w:bCs/>
                <w:sz w:val="24"/>
                <w:szCs w:val="20"/>
                <w:lang w:val="ru-RU"/>
              </w:rPr>
              <w:t>Оборудование</w:t>
            </w:r>
            <w:r w:rsidRPr="000462A4">
              <w:rPr>
                <w:rFonts w:ascii="Times New Roman" w:hAnsi="Times New Roman" w:cs="Times New Roman"/>
                <w:bCs/>
                <w:szCs w:val="20"/>
                <w:lang w:val="ru-RU"/>
              </w:rPr>
              <w:t>, Материалы и Качество работ</w:t>
            </w:r>
          </w:p>
        </w:tc>
        <w:tc>
          <w:tcPr>
            <w:tcW w:w="4608" w:type="dxa"/>
          </w:tcPr>
          <w:p w:rsidR="00041303" w:rsidRPr="000462A4" w:rsidRDefault="006C3CC0" w:rsidP="000462A4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Глава </w:t>
            </w:r>
            <w:r w:rsidR="00C913D3" w:rsidRPr="000462A4">
              <w:rPr>
                <w:rFonts w:ascii="Times New Roman" w:hAnsi="Times New Roman" w:cs="Times New Roman"/>
                <w:sz w:val="28"/>
                <w:lang w:val="ru-RU"/>
              </w:rPr>
              <w:t xml:space="preserve">9: </w:t>
            </w:r>
            <w:r w:rsidR="008A07EB" w:rsidRPr="000462A4">
              <w:rPr>
                <w:rFonts w:ascii="Times New Roman" w:hAnsi="Times New Roman" w:cs="Times New Roman"/>
                <w:sz w:val="28"/>
                <w:lang w:val="ru-RU"/>
              </w:rPr>
              <w:t>Иски, споры и арбитраж</w:t>
            </w:r>
          </w:p>
          <w:p w:rsidR="00C913D3" w:rsidRPr="000462A4" w:rsidRDefault="006C3CC0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bookmarkStart w:id="0" w:name="_GoBack"/>
            <w:proofErr w:type="spellStart"/>
            <w:r w:rsidRPr="000462A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Статья</w:t>
            </w:r>
            <w:proofErr w:type="spellEnd"/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C913D3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20 </w:t>
            </w:r>
            <w:r w:rsidR="008A07EB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Процедура претензии Подрядчика</w:t>
            </w:r>
          </w:p>
          <w:p w:rsidR="00C913D3" w:rsidRPr="000462A4" w:rsidRDefault="008A07EB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Новые процедуры изданий 2017 г</w:t>
            </w:r>
            <w:r w:rsidR="0063342C"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</w:p>
          <w:p w:rsidR="00C913D3" w:rsidRPr="000462A4" w:rsidRDefault="008A07EB" w:rsidP="000462A4">
            <w:pPr>
              <w:pStyle w:val="aa"/>
              <w:numPr>
                <w:ilvl w:val="0"/>
                <w:numId w:val="10"/>
              </w:num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Превентивная функция Совета по Разрешению Споров</w:t>
            </w:r>
          </w:p>
          <w:bookmarkEnd w:id="0"/>
          <w:p w:rsidR="00E928E1" w:rsidRPr="000462A4" w:rsidRDefault="008A07EB" w:rsidP="000462A4">
            <w:pPr>
              <w:tabs>
                <w:tab w:val="left" w:pos="849"/>
              </w:tabs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462A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Вопросы и ответы</w:t>
            </w:r>
          </w:p>
        </w:tc>
      </w:tr>
    </w:tbl>
    <w:p w:rsidR="00F64F31" w:rsidRPr="000462A4" w:rsidRDefault="00F64F31" w:rsidP="000462A4">
      <w:pPr>
        <w:spacing w:before="600"/>
        <w:jc w:val="both"/>
        <w:rPr>
          <w:rFonts w:ascii="Times New Roman" w:hAnsi="Times New Roman" w:cs="Times New Roman"/>
          <w:sz w:val="28"/>
        </w:rPr>
      </w:pPr>
    </w:p>
    <w:sectPr w:rsidR="00F64F31" w:rsidRPr="000462A4" w:rsidSect="0080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7B" w:rsidRDefault="002D487B" w:rsidP="00297DEB">
      <w:pPr>
        <w:spacing w:after="0" w:line="240" w:lineRule="auto"/>
      </w:pPr>
      <w:r>
        <w:separator/>
      </w:r>
    </w:p>
  </w:endnote>
  <w:endnote w:type="continuationSeparator" w:id="0">
    <w:p w:rsidR="002D487B" w:rsidRDefault="002D487B" w:rsidP="0029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7B" w:rsidRDefault="002D487B" w:rsidP="00297DEB">
      <w:pPr>
        <w:spacing w:after="0" w:line="240" w:lineRule="auto"/>
      </w:pPr>
      <w:r>
        <w:separator/>
      </w:r>
    </w:p>
  </w:footnote>
  <w:footnote w:type="continuationSeparator" w:id="0">
    <w:p w:rsidR="002D487B" w:rsidRDefault="002D487B" w:rsidP="0029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124E"/>
      </v:shape>
    </w:pict>
  </w:numPicBullet>
  <w:abstractNum w:abstractNumId="0">
    <w:nsid w:val="027B5244"/>
    <w:multiLevelType w:val="hybridMultilevel"/>
    <w:tmpl w:val="A2704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256D"/>
    <w:multiLevelType w:val="hybridMultilevel"/>
    <w:tmpl w:val="163C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63"/>
    <w:multiLevelType w:val="hybridMultilevel"/>
    <w:tmpl w:val="E744E3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6D13"/>
    <w:multiLevelType w:val="hybridMultilevel"/>
    <w:tmpl w:val="60C622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5D76"/>
    <w:multiLevelType w:val="hybridMultilevel"/>
    <w:tmpl w:val="8408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F35E3"/>
    <w:multiLevelType w:val="multilevel"/>
    <w:tmpl w:val="FCF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56A30"/>
    <w:multiLevelType w:val="multilevel"/>
    <w:tmpl w:val="1C78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B5C13"/>
    <w:multiLevelType w:val="multilevel"/>
    <w:tmpl w:val="5F3E4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509F6"/>
    <w:multiLevelType w:val="hybridMultilevel"/>
    <w:tmpl w:val="5706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72E0B"/>
    <w:multiLevelType w:val="hybridMultilevel"/>
    <w:tmpl w:val="150EFF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A2730"/>
    <w:multiLevelType w:val="hybridMultilevel"/>
    <w:tmpl w:val="0F06CF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83C3D"/>
    <w:multiLevelType w:val="hybridMultilevel"/>
    <w:tmpl w:val="81F89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94A38"/>
    <w:multiLevelType w:val="multilevel"/>
    <w:tmpl w:val="3AD2E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50E33"/>
    <w:multiLevelType w:val="hybridMultilevel"/>
    <w:tmpl w:val="B5B458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676F1"/>
    <w:multiLevelType w:val="hybridMultilevel"/>
    <w:tmpl w:val="7AF2345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A"/>
    <w:rsid w:val="000268EB"/>
    <w:rsid w:val="00041303"/>
    <w:rsid w:val="000462A4"/>
    <w:rsid w:val="00066369"/>
    <w:rsid w:val="00072463"/>
    <w:rsid w:val="0008228E"/>
    <w:rsid w:val="000918D9"/>
    <w:rsid w:val="000D525D"/>
    <w:rsid w:val="000E38C7"/>
    <w:rsid w:val="000E45E2"/>
    <w:rsid w:val="00103B22"/>
    <w:rsid w:val="00105008"/>
    <w:rsid w:val="00115368"/>
    <w:rsid w:val="00156B3A"/>
    <w:rsid w:val="00167728"/>
    <w:rsid w:val="001A4AE6"/>
    <w:rsid w:val="001B5CEE"/>
    <w:rsid w:val="001B6C6D"/>
    <w:rsid w:val="001C1FB4"/>
    <w:rsid w:val="001F74A9"/>
    <w:rsid w:val="00217B35"/>
    <w:rsid w:val="00221768"/>
    <w:rsid w:val="002245FE"/>
    <w:rsid w:val="00253A7C"/>
    <w:rsid w:val="0026762C"/>
    <w:rsid w:val="00274226"/>
    <w:rsid w:val="00297DEB"/>
    <w:rsid w:val="002B2506"/>
    <w:rsid w:val="002B7948"/>
    <w:rsid w:val="002C7EBB"/>
    <w:rsid w:val="002D487B"/>
    <w:rsid w:val="002F0183"/>
    <w:rsid w:val="002F3FE7"/>
    <w:rsid w:val="003163C7"/>
    <w:rsid w:val="00327AAD"/>
    <w:rsid w:val="0035534B"/>
    <w:rsid w:val="0037078E"/>
    <w:rsid w:val="00375B21"/>
    <w:rsid w:val="003B665B"/>
    <w:rsid w:val="003C598E"/>
    <w:rsid w:val="003C6D76"/>
    <w:rsid w:val="003D6CBA"/>
    <w:rsid w:val="003D7300"/>
    <w:rsid w:val="003F5370"/>
    <w:rsid w:val="00414E7B"/>
    <w:rsid w:val="00433A28"/>
    <w:rsid w:val="00496991"/>
    <w:rsid w:val="004F027C"/>
    <w:rsid w:val="004F4A20"/>
    <w:rsid w:val="005058F6"/>
    <w:rsid w:val="00557C5D"/>
    <w:rsid w:val="005652B8"/>
    <w:rsid w:val="005665AA"/>
    <w:rsid w:val="00576D4D"/>
    <w:rsid w:val="00595343"/>
    <w:rsid w:val="005A5A6C"/>
    <w:rsid w:val="005B3720"/>
    <w:rsid w:val="005D22C1"/>
    <w:rsid w:val="005D6877"/>
    <w:rsid w:val="006213BC"/>
    <w:rsid w:val="0063342C"/>
    <w:rsid w:val="00644386"/>
    <w:rsid w:val="00677D6F"/>
    <w:rsid w:val="006B1136"/>
    <w:rsid w:val="006C3CC0"/>
    <w:rsid w:val="006D4F7D"/>
    <w:rsid w:val="006D5DD3"/>
    <w:rsid w:val="007234C4"/>
    <w:rsid w:val="0072683A"/>
    <w:rsid w:val="00773912"/>
    <w:rsid w:val="00787513"/>
    <w:rsid w:val="007B13E2"/>
    <w:rsid w:val="007D7C68"/>
    <w:rsid w:val="007E0D59"/>
    <w:rsid w:val="007F1748"/>
    <w:rsid w:val="00805A13"/>
    <w:rsid w:val="00810D98"/>
    <w:rsid w:val="00831CCA"/>
    <w:rsid w:val="0085004D"/>
    <w:rsid w:val="008A07EB"/>
    <w:rsid w:val="008A4E88"/>
    <w:rsid w:val="008B3DB0"/>
    <w:rsid w:val="008C5899"/>
    <w:rsid w:val="008E1563"/>
    <w:rsid w:val="0092335D"/>
    <w:rsid w:val="0097612C"/>
    <w:rsid w:val="00980B72"/>
    <w:rsid w:val="00990092"/>
    <w:rsid w:val="0099310E"/>
    <w:rsid w:val="00997C1D"/>
    <w:rsid w:val="00A24D33"/>
    <w:rsid w:val="00A40659"/>
    <w:rsid w:val="00A42695"/>
    <w:rsid w:val="00A71086"/>
    <w:rsid w:val="00AE445B"/>
    <w:rsid w:val="00AF2BCB"/>
    <w:rsid w:val="00B94269"/>
    <w:rsid w:val="00BA755A"/>
    <w:rsid w:val="00BD15FE"/>
    <w:rsid w:val="00C312C9"/>
    <w:rsid w:val="00C67E3F"/>
    <w:rsid w:val="00C913D3"/>
    <w:rsid w:val="00C96169"/>
    <w:rsid w:val="00CE08A5"/>
    <w:rsid w:val="00CF1C60"/>
    <w:rsid w:val="00CF1F4A"/>
    <w:rsid w:val="00D02B2C"/>
    <w:rsid w:val="00D17DFF"/>
    <w:rsid w:val="00D34AD0"/>
    <w:rsid w:val="00D416FA"/>
    <w:rsid w:val="00D47B04"/>
    <w:rsid w:val="00D74EDA"/>
    <w:rsid w:val="00D82E1F"/>
    <w:rsid w:val="00D86471"/>
    <w:rsid w:val="00D938A4"/>
    <w:rsid w:val="00D940FB"/>
    <w:rsid w:val="00DA437A"/>
    <w:rsid w:val="00DA6AE4"/>
    <w:rsid w:val="00DD622A"/>
    <w:rsid w:val="00DF7960"/>
    <w:rsid w:val="00E053CD"/>
    <w:rsid w:val="00E06120"/>
    <w:rsid w:val="00E11D1D"/>
    <w:rsid w:val="00E200FC"/>
    <w:rsid w:val="00E27F1C"/>
    <w:rsid w:val="00E928E1"/>
    <w:rsid w:val="00EE43D4"/>
    <w:rsid w:val="00EF370B"/>
    <w:rsid w:val="00F07A32"/>
    <w:rsid w:val="00F42D5F"/>
    <w:rsid w:val="00F45119"/>
    <w:rsid w:val="00F6285E"/>
    <w:rsid w:val="00F635C3"/>
    <w:rsid w:val="00F64F31"/>
    <w:rsid w:val="00F96C6C"/>
    <w:rsid w:val="00F97B39"/>
    <w:rsid w:val="00FA4C09"/>
    <w:rsid w:val="00FC36AE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</w:style>
  <w:style w:type="paragraph" w:styleId="1">
    <w:name w:val="heading 1"/>
    <w:basedOn w:val="a"/>
    <w:link w:val="10"/>
    <w:uiPriority w:val="9"/>
    <w:qFormat/>
    <w:rsid w:val="0015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1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rog">
    <w:name w:val="prog"/>
    <w:basedOn w:val="a0"/>
    <w:rsid w:val="00156B3A"/>
  </w:style>
  <w:style w:type="paragraph" w:customStyle="1" w:styleId="prog1">
    <w:name w:val="prog1"/>
    <w:basedOn w:val="a"/>
    <w:rsid w:val="001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156B3A"/>
    <w:rPr>
      <w:color w:val="0000FF"/>
      <w:u w:val="single"/>
    </w:rPr>
  </w:style>
  <w:style w:type="paragraph" w:customStyle="1" w:styleId="Subject">
    <w:name w:val="Subject"/>
    <w:basedOn w:val="a"/>
    <w:rsid w:val="00D416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480" w:after="0" w:line="240" w:lineRule="auto"/>
      <w:ind w:left="1985" w:hanging="1418"/>
    </w:pPr>
    <w:rPr>
      <w:rFonts w:ascii="Arial" w:eastAsia="Times New Roman" w:hAnsi="Arial" w:cs="Times New Roman"/>
      <w:sz w:val="24"/>
      <w:szCs w:val="20"/>
      <w:lang w:eastAsia="bg-BG"/>
    </w:rPr>
  </w:style>
  <w:style w:type="table" w:styleId="a5">
    <w:name w:val="Table Grid"/>
    <w:basedOn w:val="a1"/>
    <w:uiPriority w:val="59"/>
    <w:rsid w:val="003B665B"/>
    <w:pPr>
      <w:spacing w:beforeLines="120" w:afterLines="12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9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DEB"/>
  </w:style>
  <w:style w:type="paragraph" w:styleId="a8">
    <w:name w:val="footer"/>
    <w:basedOn w:val="a"/>
    <w:link w:val="a9"/>
    <w:uiPriority w:val="99"/>
    <w:semiHidden/>
    <w:unhideWhenUsed/>
    <w:rsid w:val="0029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DEB"/>
  </w:style>
  <w:style w:type="paragraph" w:styleId="aa">
    <w:name w:val="List Paragraph"/>
    <w:basedOn w:val="a"/>
    <w:uiPriority w:val="34"/>
    <w:qFormat/>
    <w:rsid w:val="00103B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6C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tart">
    <w:name w:val="date-display-start"/>
    <w:basedOn w:val="a0"/>
    <w:rsid w:val="001B6C6D"/>
  </w:style>
  <w:style w:type="character" w:customStyle="1" w:styleId="date-display-end">
    <w:name w:val="date-display-end"/>
    <w:basedOn w:val="a0"/>
    <w:rsid w:val="001B6C6D"/>
  </w:style>
  <w:style w:type="character" w:customStyle="1" w:styleId="locality">
    <w:name w:val="locality"/>
    <w:basedOn w:val="a0"/>
    <w:rsid w:val="001B6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C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6C6D"/>
    <w:rPr>
      <w:rFonts w:ascii="Arial" w:eastAsia="Times New Roman" w:hAnsi="Arial" w:cs="Arial"/>
      <w:vanish/>
      <w:sz w:val="16"/>
      <w:szCs w:val="16"/>
    </w:rPr>
  </w:style>
  <w:style w:type="character" w:styleId="ad">
    <w:name w:val="Strong"/>
    <w:basedOn w:val="a0"/>
    <w:uiPriority w:val="22"/>
    <w:qFormat/>
    <w:rsid w:val="001B6C6D"/>
    <w:rPr>
      <w:b/>
      <w:bCs/>
    </w:rPr>
  </w:style>
  <w:style w:type="character" w:customStyle="1" w:styleId="element-invisible">
    <w:name w:val="element-invisible"/>
    <w:basedOn w:val="a0"/>
    <w:rsid w:val="001B6C6D"/>
  </w:style>
  <w:style w:type="character" w:customStyle="1" w:styleId="fieldset-legend">
    <w:name w:val="fieldset-legend"/>
    <w:basedOn w:val="a0"/>
    <w:rsid w:val="001B6C6D"/>
  </w:style>
  <w:style w:type="character" w:customStyle="1" w:styleId="fieldset-legend-prefix">
    <w:name w:val="fieldset-legend-prefix"/>
    <w:basedOn w:val="a0"/>
    <w:rsid w:val="001B6C6D"/>
  </w:style>
  <w:style w:type="character" w:customStyle="1" w:styleId="file">
    <w:name w:val="file"/>
    <w:basedOn w:val="a0"/>
    <w:rsid w:val="001B6C6D"/>
  </w:style>
  <w:style w:type="character" w:styleId="ae">
    <w:name w:val="FollowedHyperlink"/>
    <w:basedOn w:val="a0"/>
    <w:uiPriority w:val="99"/>
    <w:semiHidden/>
    <w:unhideWhenUsed/>
    <w:rsid w:val="002245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</w:style>
  <w:style w:type="paragraph" w:styleId="1">
    <w:name w:val="heading 1"/>
    <w:basedOn w:val="a"/>
    <w:link w:val="10"/>
    <w:uiPriority w:val="9"/>
    <w:qFormat/>
    <w:rsid w:val="00156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3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1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rog">
    <w:name w:val="prog"/>
    <w:basedOn w:val="a0"/>
    <w:rsid w:val="00156B3A"/>
  </w:style>
  <w:style w:type="paragraph" w:customStyle="1" w:styleId="prog1">
    <w:name w:val="prog1"/>
    <w:basedOn w:val="a"/>
    <w:rsid w:val="0015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156B3A"/>
    <w:rPr>
      <w:color w:val="0000FF"/>
      <w:u w:val="single"/>
    </w:rPr>
  </w:style>
  <w:style w:type="paragraph" w:customStyle="1" w:styleId="Subject">
    <w:name w:val="Subject"/>
    <w:basedOn w:val="a"/>
    <w:rsid w:val="00D416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480" w:after="0" w:line="240" w:lineRule="auto"/>
      <w:ind w:left="1985" w:hanging="1418"/>
    </w:pPr>
    <w:rPr>
      <w:rFonts w:ascii="Arial" w:eastAsia="Times New Roman" w:hAnsi="Arial" w:cs="Times New Roman"/>
      <w:sz w:val="24"/>
      <w:szCs w:val="20"/>
      <w:lang w:eastAsia="bg-BG"/>
    </w:rPr>
  </w:style>
  <w:style w:type="table" w:styleId="a5">
    <w:name w:val="Table Grid"/>
    <w:basedOn w:val="a1"/>
    <w:uiPriority w:val="59"/>
    <w:rsid w:val="003B665B"/>
    <w:pPr>
      <w:spacing w:beforeLines="120" w:afterLines="12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9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DEB"/>
  </w:style>
  <w:style w:type="paragraph" w:styleId="a8">
    <w:name w:val="footer"/>
    <w:basedOn w:val="a"/>
    <w:link w:val="a9"/>
    <w:uiPriority w:val="99"/>
    <w:semiHidden/>
    <w:unhideWhenUsed/>
    <w:rsid w:val="0029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DEB"/>
  </w:style>
  <w:style w:type="paragraph" w:styleId="aa">
    <w:name w:val="List Paragraph"/>
    <w:basedOn w:val="a"/>
    <w:uiPriority w:val="34"/>
    <w:qFormat/>
    <w:rsid w:val="00103B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6C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tart">
    <w:name w:val="date-display-start"/>
    <w:basedOn w:val="a0"/>
    <w:rsid w:val="001B6C6D"/>
  </w:style>
  <w:style w:type="character" w:customStyle="1" w:styleId="date-display-end">
    <w:name w:val="date-display-end"/>
    <w:basedOn w:val="a0"/>
    <w:rsid w:val="001B6C6D"/>
  </w:style>
  <w:style w:type="character" w:customStyle="1" w:styleId="locality">
    <w:name w:val="locality"/>
    <w:basedOn w:val="a0"/>
    <w:rsid w:val="001B6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C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B6C6D"/>
    <w:rPr>
      <w:rFonts w:ascii="Arial" w:eastAsia="Times New Roman" w:hAnsi="Arial" w:cs="Arial"/>
      <w:vanish/>
      <w:sz w:val="16"/>
      <w:szCs w:val="16"/>
    </w:rPr>
  </w:style>
  <w:style w:type="character" w:styleId="ad">
    <w:name w:val="Strong"/>
    <w:basedOn w:val="a0"/>
    <w:uiPriority w:val="22"/>
    <w:qFormat/>
    <w:rsid w:val="001B6C6D"/>
    <w:rPr>
      <w:b/>
      <w:bCs/>
    </w:rPr>
  </w:style>
  <w:style w:type="character" w:customStyle="1" w:styleId="element-invisible">
    <w:name w:val="element-invisible"/>
    <w:basedOn w:val="a0"/>
    <w:rsid w:val="001B6C6D"/>
  </w:style>
  <w:style w:type="character" w:customStyle="1" w:styleId="fieldset-legend">
    <w:name w:val="fieldset-legend"/>
    <w:basedOn w:val="a0"/>
    <w:rsid w:val="001B6C6D"/>
  </w:style>
  <w:style w:type="character" w:customStyle="1" w:styleId="fieldset-legend-prefix">
    <w:name w:val="fieldset-legend-prefix"/>
    <w:basedOn w:val="a0"/>
    <w:rsid w:val="001B6C6D"/>
  </w:style>
  <w:style w:type="character" w:customStyle="1" w:styleId="file">
    <w:name w:val="file"/>
    <w:basedOn w:val="a0"/>
    <w:rsid w:val="001B6C6D"/>
  </w:style>
  <w:style w:type="character" w:styleId="ae">
    <w:name w:val="FollowedHyperlink"/>
    <w:basedOn w:val="a0"/>
    <w:uiPriority w:val="99"/>
    <w:semiHidden/>
    <w:unhideWhenUsed/>
    <w:rsid w:val="0022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2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7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7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6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0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5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4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0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83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52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02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0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4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77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47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6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4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4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5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6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13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82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dic.org/taxonomy/term/64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НАИКС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Мария Макаренко</cp:lastModifiedBy>
  <cp:revision>2</cp:revision>
  <cp:lastPrinted>2017-11-20T16:20:00Z</cp:lastPrinted>
  <dcterms:created xsi:type="dcterms:W3CDTF">2019-12-16T15:05:00Z</dcterms:created>
  <dcterms:modified xsi:type="dcterms:W3CDTF">2019-12-16T15:05:00Z</dcterms:modified>
</cp:coreProperties>
</file>